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F4572" w14:textId="77777777" w:rsidR="002D28F8"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18F7EC2D" w14:textId="77777777" w:rsidR="002D28F8" w:rsidRDefault="002D28F8">
      <w:pPr>
        <w:spacing w:line="540" w:lineRule="exact"/>
        <w:jc w:val="center"/>
        <w:rPr>
          <w:rFonts w:ascii="华文中宋" w:eastAsia="华文中宋" w:hAnsi="华文中宋" w:cs="宋体" w:hint="eastAsia"/>
          <w:b/>
          <w:kern w:val="0"/>
          <w:sz w:val="52"/>
          <w:szCs w:val="52"/>
        </w:rPr>
      </w:pPr>
    </w:p>
    <w:p w14:paraId="7A2C31F1" w14:textId="77777777" w:rsidR="002D28F8" w:rsidRDefault="002D28F8">
      <w:pPr>
        <w:spacing w:line="540" w:lineRule="exact"/>
        <w:jc w:val="center"/>
        <w:rPr>
          <w:rFonts w:ascii="华文中宋" w:eastAsia="华文中宋" w:hAnsi="华文中宋" w:cs="宋体" w:hint="eastAsia"/>
          <w:b/>
          <w:kern w:val="0"/>
          <w:sz w:val="52"/>
          <w:szCs w:val="52"/>
        </w:rPr>
      </w:pPr>
    </w:p>
    <w:p w14:paraId="0C84E237" w14:textId="77777777" w:rsidR="002D28F8" w:rsidRDefault="002D28F8">
      <w:pPr>
        <w:spacing w:line="540" w:lineRule="exact"/>
        <w:jc w:val="center"/>
        <w:rPr>
          <w:rFonts w:ascii="华文中宋" w:eastAsia="华文中宋" w:hAnsi="华文中宋" w:cs="宋体" w:hint="eastAsia"/>
          <w:b/>
          <w:kern w:val="0"/>
          <w:sz w:val="52"/>
          <w:szCs w:val="52"/>
        </w:rPr>
      </w:pPr>
    </w:p>
    <w:p w14:paraId="60E70E9A" w14:textId="77777777" w:rsidR="002D28F8" w:rsidRDefault="002D28F8">
      <w:pPr>
        <w:spacing w:line="540" w:lineRule="exact"/>
        <w:jc w:val="center"/>
        <w:rPr>
          <w:rFonts w:ascii="华文中宋" w:eastAsia="华文中宋" w:hAnsi="华文中宋" w:cs="宋体" w:hint="eastAsia"/>
          <w:b/>
          <w:kern w:val="0"/>
          <w:sz w:val="52"/>
          <w:szCs w:val="52"/>
        </w:rPr>
      </w:pPr>
    </w:p>
    <w:p w14:paraId="1B2813BF" w14:textId="77777777" w:rsidR="002D28F8" w:rsidRDefault="002D28F8">
      <w:pPr>
        <w:spacing w:line="540" w:lineRule="exact"/>
        <w:jc w:val="center"/>
        <w:rPr>
          <w:rFonts w:ascii="华文中宋" w:eastAsia="华文中宋" w:hAnsi="华文中宋" w:cs="宋体" w:hint="eastAsia"/>
          <w:b/>
          <w:kern w:val="0"/>
          <w:sz w:val="52"/>
          <w:szCs w:val="52"/>
        </w:rPr>
      </w:pPr>
    </w:p>
    <w:p w14:paraId="6B8A4C25" w14:textId="77777777" w:rsidR="002D28F8" w:rsidRDefault="002D28F8">
      <w:pPr>
        <w:spacing w:line="540" w:lineRule="exact"/>
        <w:jc w:val="center"/>
        <w:rPr>
          <w:rFonts w:ascii="华文中宋" w:eastAsia="华文中宋" w:hAnsi="华文中宋" w:cs="宋体" w:hint="eastAsia"/>
          <w:b/>
          <w:kern w:val="0"/>
          <w:sz w:val="52"/>
          <w:szCs w:val="52"/>
        </w:rPr>
      </w:pPr>
    </w:p>
    <w:p w14:paraId="33980567" w14:textId="77777777" w:rsidR="002D28F8"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6A1411DD" w14:textId="77777777" w:rsidR="002D28F8" w:rsidRDefault="002D28F8">
      <w:pPr>
        <w:spacing w:line="540" w:lineRule="exact"/>
        <w:jc w:val="center"/>
        <w:rPr>
          <w:rFonts w:ascii="华文中宋" w:eastAsia="华文中宋" w:hAnsi="华文中宋" w:cs="宋体" w:hint="eastAsia"/>
          <w:b/>
          <w:kern w:val="0"/>
          <w:sz w:val="52"/>
          <w:szCs w:val="52"/>
        </w:rPr>
      </w:pPr>
    </w:p>
    <w:p w14:paraId="1EFE3623" w14:textId="77777777" w:rsidR="002D28F8"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196F90F1" w14:textId="77777777" w:rsidR="002D28F8" w:rsidRDefault="002D28F8">
      <w:pPr>
        <w:spacing w:line="540" w:lineRule="exact"/>
        <w:jc w:val="center"/>
        <w:rPr>
          <w:rFonts w:eastAsia="仿宋_GB2312" w:hAnsi="宋体" w:cs="宋体" w:hint="eastAsia"/>
          <w:kern w:val="0"/>
          <w:sz w:val="30"/>
          <w:szCs w:val="30"/>
        </w:rPr>
      </w:pPr>
    </w:p>
    <w:p w14:paraId="6818382D" w14:textId="77777777" w:rsidR="002D28F8" w:rsidRDefault="002D28F8">
      <w:pPr>
        <w:spacing w:line="540" w:lineRule="exact"/>
        <w:jc w:val="center"/>
        <w:rPr>
          <w:rFonts w:eastAsia="仿宋_GB2312" w:hAnsi="宋体" w:cs="宋体" w:hint="eastAsia"/>
          <w:kern w:val="0"/>
          <w:sz w:val="30"/>
          <w:szCs w:val="30"/>
        </w:rPr>
      </w:pPr>
    </w:p>
    <w:p w14:paraId="04301342" w14:textId="77777777" w:rsidR="002D28F8" w:rsidRDefault="002D28F8">
      <w:pPr>
        <w:spacing w:line="540" w:lineRule="exact"/>
        <w:jc w:val="center"/>
        <w:rPr>
          <w:rFonts w:eastAsia="仿宋_GB2312" w:hAnsi="宋体" w:cs="宋体" w:hint="eastAsia"/>
          <w:kern w:val="0"/>
          <w:sz w:val="30"/>
          <w:szCs w:val="30"/>
        </w:rPr>
      </w:pPr>
    </w:p>
    <w:p w14:paraId="435F7696" w14:textId="77777777" w:rsidR="002D28F8" w:rsidRDefault="002D28F8">
      <w:pPr>
        <w:spacing w:line="540" w:lineRule="exact"/>
        <w:jc w:val="center"/>
        <w:rPr>
          <w:rFonts w:eastAsia="仿宋_GB2312" w:hAnsi="宋体" w:cs="宋体" w:hint="eastAsia"/>
          <w:kern w:val="0"/>
          <w:sz w:val="30"/>
          <w:szCs w:val="30"/>
        </w:rPr>
      </w:pPr>
    </w:p>
    <w:p w14:paraId="40552764" w14:textId="77777777" w:rsidR="002D28F8" w:rsidRDefault="002D28F8">
      <w:pPr>
        <w:spacing w:line="540" w:lineRule="exact"/>
        <w:jc w:val="center"/>
        <w:rPr>
          <w:rFonts w:eastAsia="仿宋_GB2312" w:hAnsi="宋体" w:cs="宋体" w:hint="eastAsia"/>
          <w:kern w:val="0"/>
          <w:sz w:val="30"/>
          <w:szCs w:val="30"/>
        </w:rPr>
      </w:pPr>
    </w:p>
    <w:p w14:paraId="1DD50B6F" w14:textId="77777777" w:rsidR="002D28F8" w:rsidRDefault="002D28F8">
      <w:pPr>
        <w:spacing w:line="540" w:lineRule="exact"/>
        <w:jc w:val="center"/>
        <w:rPr>
          <w:rFonts w:eastAsia="仿宋_GB2312" w:hAnsi="宋体" w:cs="宋体" w:hint="eastAsia"/>
          <w:kern w:val="0"/>
          <w:sz w:val="30"/>
          <w:szCs w:val="30"/>
        </w:rPr>
      </w:pPr>
    </w:p>
    <w:p w14:paraId="11246E94" w14:textId="77777777" w:rsidR="002D28F8" w:rsidRDefault="002D28F8">
      <w:pPr>
        <w:spacing w:line="540" w:lineRule="exact"/>
        <w:rPr>
          <w:rFonts w:eastAsia="仿宋_GB2312" w:hAnsi="宋体" w:cs="宋体" w:hint="eastAsia"/>
          <w:kern w:val="0"/>
          <w:sz w:val="30"/>
          <w:szCs w:val="30"/>
        </w:rPr>
      </w:pPr>
    </w:p>
    <w:p w14:paraId="3DB2E1A8" w14:textId="77777777" w:rsidR="002D28F8"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1287C539" w14:textId="77777777" w:rsidR="002D28F8"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2024年木垒县基层农业技术推广体系改革与建设项目</w:t>
      </w:r>
    </w:p>
    <w:p w14:paraId="7DA5D15A" w14:textId="77777777" w:rsidR="002D28F8"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木垒县农业技术推广站本级</w:t>
      </w:r>
    </w:p>
    <w:p w14:paraId="5D5D6BFF" w14:textId="77777777" w:rsidR="002D28F8"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木垒县农业技术推广站本级</w:t>
      </w:r>
    </w:p>
    <w:p w14:paraId="6404EAAE" w14:textId="77777777" w:rsidR="002D28F8"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张光海</w:t>
      </w:r>
    </w:p>
    <w:p w14:paraId="6BD72C01" w14:textId="5482001C" w:rsidR="002D28F8" w:rsidRPr="001662DF" w:rsidRDefault="00000000" w:rsidP="001662DF">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2025年05月12日</w:t>
      </w:r>
    </w:p>
    <w:p w14:paraId="38C00FAF" w14:textId="77777777" w:rsidR="002D28F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lastRenderedPageBreak/>
        <w:t>一、基本情况</w:t>
      </w:r>
    </w:p>
    <w:p w14:paraId="3B268703" w14:textId="77777777" w:rsidR="002D28F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50166125" w14:textId="77777777" w:rsidR="002D28F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为持续增强农业技术集成示范、推广应用等公益性服务功能，根据昌吉</w:t>
      </w:r>
      <w:proofErr w:type="gramStart"/>
      <w:r>
        <w:rPr>
          <w:rStyle w:val="ad"/>
          <w:rFonts w:ascii="楷体" w:eastAsia="楷体" w:hAnsi="楷体" w:hint="eastAsia"/>
          <w:b w:val="0"/>
          <w:bCs w:val="0"/>
          <w:spacing w:val="-4"/>
          <w:sz w:val="32"/>
          <w:szCs w:val="32"/>
        </w:rPr>
        <w:t>州农业</w:t>
      </w:r>
      <w:proofErr w:type="gramEnd"/>
      <w:r>
        <w:rPr>
          <w:rStyle w:val="ad"/>
          <w:rFonts w:ascii="楷体" w:eastAsia="楷体" w:hAnsi="楷体" w:hint="eastAsia"/>
          <w:b w:val="0"/>
          <w:bCs w:val="0"/>
          <w:spacing w:val="-4"/>
          <w:sz w:val="32"/>
          <w:szCs w:val="32"/>
        </w:rPr>
        <w:t>农村局《关于印发&lt;昌吉州2024年基层农技推广体系改革与建设项目实施方案&gt;的通知》（昌</w:t>
      </w:r>
      <w:proofErr w:type="gramStart"/>
      <w:r>
        <w:rPr>
          <w:rStyle w:val="ad"/>
          <w:rFonts w:ascii="楷体" w:eastAsia="楷体" w:hAnsi="楷体" w:hint="eastAsia"/>
          <w:b w:val="0"/>
          <w:bCs w:val="0"/>
          <w:spacing w:val="-4"/>
          <w:sz w:val="32"/>
          <w:szCs w:val="32"/>
        </w:rPr>
        <w:t>州农函</w:t>
      </w:r>
      <w:proofErr w:type="gramEnd"/>
      <w:r>
        <w:rPr>
          <w:rStyle w:val="ad"/>
          <w:rFonts w:ascii="楷体" w:eastAsia="楷体" w:hAnsi="楷体" w:hint="eastAsia"/>
          <w:b w:val="0"/>
          <w:bCs w:val="0"/>
          <w:spacing w:val="-4"/>
          <w:sz w:val="32"/>
          <w:szCs w:val="32"/>
        </w:rPr>
        <w:t>〔2024〕56号）、昌吉州财政局《关于提前下达2024年中央农业经营主体能力提升资金预算的通知》（昌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木垒县农业农村局《2024年木垒县基层农业技术推广体系改革与建设项目实施方案》立项，文件明确列入基层农业技术推广体系改革与建设经费是为了农业科技发展，使用范围主要包括农业科技示范展示基地、培育科技示范主体、推介主导品种、农业先进适用主推技术推广、县乡农技员培训、招募特聘农技员等相关工作，木垒县农牧业技术推广中心实施了2024年基层农业技术推广体系改革与建设项目。</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项目资金主要用于农业科技示范展示基地、培育科技示范主体、推介主导品种、农业先进适用主推技术推广、县乡农技员培训、招募特聘农技员等相关工作支出，木垒县农牧业技术推广中心建立2个农业科技示范基地，开展农业技术示范现场会，支持县乡和特聘农技员参加县内外培训，提升农业科技力量，展示农业科技水平。</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本项目由木垒县农业农村局牵头，主要用于农业科技示范基地和示范主体的补贴，招募特聘农技员，支持农业企业、农业合作社、</w:t>
      </w:r>
      <w:r>
        <w:rPr>
          <w:rStyle w:val="ad"/>
          <w:rFonts w:ascii="楷体" w:eastAsia="楷体" w:hAnsi="楷体" w:hint="eastAsia"/>
          <w:b w:val="0"/>
          <w:bCs w:val="0"/>
          <w:spacing w:val="-4"/>
          <w:sz w:val="32"/>
          <w:szCs w:val="32"/>
        </w:rPr>
        <w:lastRenderedPageBreak/>
        <w:t>农户、农业技术</w:t>
      </w:r>
      <w:proofErr w:type="gramStart"/>
      <w:r>
        <w:rPr>
          <w:rStyle w:val="ad"/>
          <w:rFonts w:ascii="楷体" w:eastAsia="楷体" w:hAnsi="楷体" w:hint="eastAsia"/>
          <w:b w:val="0"/>
          <w:bCs w:val="0"/>
          <w:spacing w:val="-4"/>
          <w:sz w:val="32"/>
          <w:szCs w:val="32"/>
        </w:rPr>
        <w:t>员科技</w:t>
      </w:r>
      <w:proofErr w:type="gramEnd"/>
      <w:r>
        <w:rPr>
          <w:rStyle w:val="ad"/>
          <w:rFonts w:ascii="楷体" w:eastAsia="楷体" w:hAnsi="楷体" w:hint="eastAsia"/>
          <w:b w:val="0"/>
          <w:bCs w:val="0"/>
          <w:spacing w:val="-4"/>
          <w:sz w:val="32"/>
          <w:szCs w:val="32"/>
        </w:rPr>
        <w:t>水平的提升，支持乡村振兴。</w:t>
      </w:r>
      <w:r>
        <w:rPr>
          <w:rStyle w:val="ad"/>
          <w:rFonts w:ascii="楷体" w:eastAsia="楷体" w:hAnsi="楷体" w:hint="eastAsia"/>
          <w:b w:val="0"/>
          <w:bCs w:val="0"/>
          <w:spacing w:val="-4"/>
          <w:sz w:val="32"/>
          <w:szCs w:val="32"/>
        </w:rPr>
        <w:br/>
        <w:t>自2024年1月开始，木垒县建设农业科技示范展示基地2个，培育科技示范主体8个，推介主导品种16个，农业先进适用主推技术4项，编制了《木垒县小麦、玉米优质高产栽培技术方案》，印刷了《木垒主导品种和主推技术》手册，48名县乡农技员参加了自治区、州、县组织的农业技术培训，招募了18名特聘农技员，农业主推技术到位率达到95%，农业科技示范主体抽样满意度超过90%，并使用基层农业技术推广体系改革与建设经费84.230293万元。</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2024年木垒县基层农业技术推广体系改革与建设项目资金于2023年12月25日昌吉州财政局下发的《关于提前下达2024年中央农业经营主体能力提升资金预算的通知》（昌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文件安排资金为85万元，为上级财政资金，实际到位85万元，资金到位率100%，实际执行84.230293万元，执行率99.09%，资金落实到位。资金主要用于农业科技示范基地和示范主体的补贴，招募特聘农技员，支持农业企业、农业合作社、农户、农业技术</w:t>
      </w:r>
      <w:proofErr w:type="gramStart"/>
      <w:r>
        <w:rPr>
          <w:rStyle w:val="ad"/>
          <w:rFonts w:ascii="楷体" w:eastAsia="楷体" w:hAnsi="楷体" w:hint="eastAsia"/>
          <w:b w:val="0"/>
          <w:bCs w:val="0"/>
          <w:spacing w:val="-4"/>
          <w:sz w:val="32"/>
          <w:szCs w:val="32"/>
        </w:rPr>
        <w:t>员科技</w:t>
      </w:r>
      <w:proofErr w:type="gramEnd"/>
      <w:r>
        <w:rPr>
          <w:rStyle w:val="ad"/>
          <w:rFonts w:ascii="楷体" w:eastAsia="楷体" w:hAnsi="楷体" w:hint="eastAsia"/>
          <w:b w:val="0"/>
          <w:bCs w:val="0"/>
          <w:spacing w:val="-4"/>
          <w:sz w:val="32"/>
          <w:szCs w:val="32"/>
        </w:rPr>
        <w:t>水平的提升，支持乡村振兴。为确保项目资金的安全有效使用、安全运行，提高资金的使用效率，我单位严格按照木垒县农业农村局财务会计内部控制制度执行，资金由财政大平台统一拨付，由财政监管，严禁随意调整预算，改变支出用途，做到专款专用，严禁截留、挪用、挤占项目资金等违规违纪问题的发生。</w:t>
      </w:r>
    </w:p>
    <w:p w14:paraId="0599A73B" w14:textId="77777777" w:rsidR="002D28F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72B12D4A" w14:textId="77777777" w:rsidR="002D28F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依据《关于提前下达2024年中央农业经营主体能力提升资金预算的通知》（昌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〔2023〕52号），木垒县农牧业技术推广中心计划使用2024年木垒县基层农技推广改革与体系经费开展农业科技示范基地和示范主体的建设，招募特聘农技员，农业企业、农业合作社、农户、农业技术</w:t>
      </w:r>
      <w:proofErr w:type="gramStart"/>
      <w:r>
        <w:rPr>
          <w:rStyle w:val="ad"/>
          <w:rFonts w:ascii="楷体" w:eastAsia="楷体" w:hAnsi="楷体" w:hint="eastAsia"/>
          <w:b w:val="0"/>
          <w:bCs w:val="0"/>
          <w:spacing w:val="-4"/>
          <w:sz w:val="32"/>
          <w:szCs w:val="32"/>
        </w:rPr>
        <w:t>员科技</w:t>
      </w:r>
      <w:proofErr w:type="gramEnd"/>
      <w:r>
        <w:rPr>
          <w:rStyle w:val="ad"/>
          <w:rFonts w:ascii="楷体" w:eastAsia="楷体" w:hAnsi="楷体" w:hint="eastAsia"/>
          <w:b w:val="0"/>
          <w:bCs w:val="0"/>
          <w:spacing w:val="-4"/>
          <w:sz w:val="32"/>
          <w:szCs w:val="32"/>
        </w:rPr>
        <w:t>水平的提升，支持乡村振兴，建设农业科技示范展示基地2个，培育科技示范主体8个，推介主导品种16个，农业先进适用主推技术4项，48名县乡农技员参加了自治区、州、县组织的农业技术培训，招募了18名特聘农技员。</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2024年12月31日前建设农业科技示范展示基地2个，培育科技示范主体8个。</w:t>
      </w:r>
      <w:r>
        <w:rPr>
          <w:rStyle w:val="ad"/>
          <w:rFonts w:ascii="楷体" w:eastAsia="楷体" w:hAnsi="楷体" w:hint="eastAsia"/>
          <w:b w:val="0"/>
          <w:bCs w:val="0"/>
          <w:spacing w:val="-4"/>
          <w:sz w:val="32"/>
          <w:szCs w:val="32"/>
        </w:rPr>
        <w:br/>
        <w:t>2024年12月31日前推介主导品种16个，农业先进适用主推技术4项。</w:t>
      </w:r>
      <w:r>
        <w:rPr>
          <w:rStyle w:val="ad"/>
          <w:rFonts w:ascii="楷体" w:eastAsia="楷体" w:hAnsi="楷体" w:hint="eastAsia"/>
          <w:b w:val="0"/>
          <w:bCs w:val="0"/>
          <w:spacing w:val="-4"/>
          <w:sz w:val="32"/>
          <w:szCs w:val="32"/>
        </w:rPr>
        <w:br/>
        <w:t>2024年12月31日前开展县级农业培训1次，支持48人次参加县内外培训。</w:t>
      </w:r>
      <w:r>
        <w:rPr>
          <w:rStyle w:val="ad"/>
          <w:rFonts w:ascii="楷体" w:eastAsia="楷体" w:hAnsi="楷体" w:hint="eastAsia"/>
          <w:b w:val="0"/>
          <w:bCs w:val="0"/>
          <w:spacing w:val="-4"/>
          <w:sz w:val="32"/>
          <w:szCs w:val="32"/>
        </w:rPr>
        <w:br/>
        <w:t>2024年12月31日前招募18名特聘农技员。</w:t>
      </w:r>
    </w:p>
    <w:p w14:paraId="12236C31" w14:textId="77777777" w:rsidR="002D28F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73FA5476" w14:textId="77777777" w:rsidR="002D28F8"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658729B4" w14:textId="77777777" w:rsidR="002D28F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w:t>
      </w:r>
      <w:r>
        <w:rPr>
          <w:rStyle w:val="ad"/>
          <w:rFonts w:ascii="楷体" w:eastAsia="楷体" w:hAnsi="楷体" w:hint="eastAsia"/>
          <w:b w:val="0"/>
          <w:bCs w:val="0"/>
          <w:spacing w:val="-4"/>
          <w:sz w:val="32"/>
          <w:szCs w:val="32"/>
        </w:rPr>
        <w:lastRenderedPageBreak/>
        <w:t>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上级财政下拨的木垒县农业农村局基层农业技术推广体系改革与建设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2024年木垒县基层农业技术推广体系改革与建设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木垒县农业农村局2024年基层农业技术推广体系改革与建设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p>
    <w:p w14:paraId="0D57BB88" w14:textId="77777777" w:rsidR="002D28F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79C1FB69" w14:textId="77777777" w:rsidR="002D28F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21D6F564" w14:textId="77777777" w:rsidR="002D28F8"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4E90B5C0" w14:textId="77777777" w:rsidR="002D28F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张光海为评价小组组长，主要负责工作安排，对项目策划和监督，全面负责项目绩效评价报告的最终质量，对评估人员出具的最终报告质量进行复核，确保评估结果的客观性；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t>吐</w:t>
      </w:r>
      <w:proofErr w:type="gramStart"/>
      <w:r>
        <w:rPr>
          <w:rStyle w:val="ad"/>
          <w:rFonts w:ascii="楷体" w:eastAsia="楷体" w:hAnsi="楷体" w:hint="eastAsia"/>
          <w:b w:val="0"/>
          <w:bCs w:val="0"/>
          <w:spacing w:val="-4"/>
          <w:sz w:val="32"/>
          <w:szCs w:val="32"/>
        </w:rPr>
        <w:t>尔森别克</w:t>
      </w:r>
      <w:proofErr w:type="gramEnd"/>
      <w:r>
        <w:rPr>
          <w:rStyle w:val="ad"/>
          <w:rFonts w:ascii="楷体" w:eastAsia="楷体" w:hAnsi="楷体" w:hint="eastAsia"/>
          <w:b w:val="0"/>
          <w:bCs w:val="0"/>
          <w:spacing w:val="-4"/>
          <w:sz w:val="32"/>
          <w:szCs w:val="32"/>
        </w:rPr>
        <w:t>为副组长，主要负责报告的审核、指导；</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罗国安为组员，负责资料、数据整理，编制报告。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1.22025年3月2日，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2025年3月4日-3月8日，评价工作进入实施阶段：</w:t>
      </w:r>
      <w:r>
        <w:rPr>
          <w:rStyle w:val="ad"/>
          <w:rFonts w:ascii="楷体" w:eastAsia="楷体" w:hAnsi="楷体" w:hint="eastAsia"/>
          <w:b w:val="0"/>
          <w:bCs w:val="0"/>
          <w:spacing w:val="-4"/>
          <w:sz w:val="32"/>
          <w:szCs w:val="32"/>
        </w:rPr>
        <w:br/>
        <w:t>2.1</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w:t>
      </w:r>
      <w:r>
        <w:rPr>
          <w:rStyle w:val="ad"/>
          <w:rFonts w:ascii="楷体" w:eastAsia="楷体" w:hAnsi="楷体" w:hint="eastAsia"/>
          <w:b w:val="0"/>
          <w:bCs w:val="0"/>
          <w:spacing w:val="-4"/>
          <w:sz w:val="32"/>
          <w:szCs w:val="32"/>
        </w:rPr>
        <w:lastRenderedPageBreak/>
        <w:t>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209957F9" w14:textId="77777777" w:rsidR="002D28F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35D0C167" w14:textId="77777777" w:rsidR="002D28F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w:t>
      </w:r>
      <w:r>
        <w:rPr>
          <w:rStyle w:val="ad"/>
          <w:rFonts w:ascii="楷体" w:eastAsia="楷体" w:hAnsi="楷体" w:hint="eastAsia"/>
          <w:b w:val="0"/>
          <w:bCs w:val="0"/>
          <w:spacing w:val="-4"/>
          <w:sz w:val="32"/>
          <w:szCs w:val="32"/>
        </w:rPr>
        <w:lastRenderedPageBreak/>
        <w:t>价。经评价，本项目部分达成年初设立的绩效目标，在实施过程中取得了良好的成效，具体表现在：通过项目的实施，全县建设农业科技示范展示基地2个，培育科技示范主体8个，推介主导品种16个，农业先进适用主推技术4项，编制了《木垒县小麦、玉米优质高产栽培技术方案》，印刷了《木垒主导品种和主推技术》手册。48名县乡农技员参加了自治区、州、县组织的农业技术培训。招募了18名特聘农技员。农业主推技术到位率达到95%，农业科技示范主体抽样满意度超过90%。但在实施过程中也存在一些不足：存在“人难集、事难议、议难决”现象。项目前期工作不全面，没有深入细致科学规划地做好各项前期工作，项目实施前期已根据项目建设内容设置绩效目标，但项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94.12%。最终评分结果：总分为99.97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过程管理类指标共设置5个，满分指标4个，得分率80%；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 15 14.97 50 20 99.97</w:t>
      </w:r>
    </w:p>
    <w:p w14:paraId="24984D02" w14:textId="77777777" w:rsidR="002D28F8"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01CF0F3C" w14:textId="77777777" w:rsidR="002D28F8"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7F882B89" w14:textId="77777777" w:rsidR="002D28F8"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项目决策类指标由4个二级指标和6个三级指标构成，权重分15分，实际得分15分。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（1）昌吉州财政局《关于提前下达2024年中央农业经营主体能力提升资金预算的通知》（昌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〔2023〕52号）、木垒县农业农村局《2024年木垒县基层农业技术推广体系改革与建设项目实施方案》。</w:t>
      </w:r>
      <w:r>
        <w:rPr>
          <w:rStyle w:val="ad"/>
          <w:rFonts w:ascii="楷体" w:eastAsia="楷体" w:hAnsi="楷体" w:hint="eastAsia"/>
          <w:b w:val="0"/>
          <w:bCs w:val="0"/>
          <w:spacing w:val="-4"/>
          <w:sz w:val="32"/>
          <w:szCs w:val="32"/>
        </w:rPr>
        <w:br/>
        <w:t>（2）新疆维吾尔自治区及昌吉回族自治州关于基层农业技术推广工作的相关政策：新疆维吾尔自治区人大常委会《新疆维吾尔自治区实施&lt;中华人民共和国农业技术推广法&gt;办法》，昌吉</w:t>
      </w:r>
      <w:proofErr w:type="gramStart"/>
      <w:r>
        <w:rPr>
          <w:rStyle w:val="ad"/>
          <w:rFonts w:ascii="楷体" w:eastAsia="楷体" w:hAnsi="楷体" w:hint="eastAsia"/>
          <w:b w:val="0"/>
          <w:bCs w:val="0"/>
          <w:spacing w:val="-4"/>
          <w:sz w:val="32"/>
          <w:szCs w:val="32"/>
        </w:rPr>
        <w:t>州农业</w:t>
      </w:r>
      <w:proofErr w:type="gramEnd"/>
      <w:r>
        <w:rPr>
          <w:rStyle w:val="ad"/>
          <w:rFonts w:ascii="楷体" w:eastAsia="楷体" w:hAnsi="楷体" w:hint="eastAsia"/>
          <w:b w:val="0"/>
          <w:bCs w:val="0"/>
          <w:spacing w:val="-4"/>
          <w:sz w:val="32"/>
          <w:szCs w:val="32"/>
        </w:rPr>
        <w:t>农村局《关于印发&lt;昌吉州2024年基层农技推广体系改革与建设项目实施方案&gt;的通知》（昌</w:t>
      </w:r>
      <w:proofErr w:type="gramStart"/>
      <w:r>
        <w:rPr>
          <w:rStyle w:val="ad"/>
          <w:rFonts w:ascii="楷体" w:eastAsia="楷体" w:hAnsi="楷体" w:hint="eastAsia"/>
          <w:b w:val="0"/>
          <w:bCs w:val="0"/>
          <w:spacing w:val="-4"/>
          <w:sz w:val="32"/>
          <w:szCs w:val="32"/>
        </w:rPr>
        <w:t>州农函</w:t>
      </w:r>
      <w:proofErr w:type="gramEnd"/>
      <w:r>
        <w:rPr>
          <w:rStyle w:val="ad"/>
          <w:rFonts w:ascii="楷体" w:eastAsia="楷体" w:hAnsi="楷体" w:hint="eastAsia"/>
          <w:b w:val="0"/>
          <w:bCs w:val="0"/>
          <w:spacing w:val="-4"/>
          <w:sz w:val="32"/>
          <w:szCs w:val="32"/>
        </w:rPr>
        <w:t>〔2024〕56号）。</w:t>
      </w:r>
      <w:r>
        <w:rPr>
          <w:rStyle w:val="ad"/>
          <w:rFonts w:ascii="楷体" w:eastAsia="楷体" w:hAnsi="楷体" w:hint="eastAsia"/>
          <w:b w:val="0"/>
          <w:bCs w:val="0"/>
          <w:spacing w:val="-4"/>
          <w:sz w:val="32"/>
          <w:szCs w:val="32"/>
        </w:rPr>
        <w:br/>
        <w:t>（3）木垒县自身制定的基层农业技术推广工作规划和政策：木垒县农业农村局《2024年木垒县基层农业技术推广体系改革与建设项目实施方案》。</w:t>
      </w:r>
      <w:r>
        <w:rPr>
          <w:rStyle w:val="ad"/>
          <w:rFonts w:ascii="楷体" w:eastAsia="楷体" w:hAnsi="楷体" w:hint="eastAsia"/>
          <w:b w:val="0"/>
          <w:bCs w:val="0"/>
          <w:spacing w:val="-4"/>
          <w:sz w:val="32"/>
          <w:szCs w:val="32"/>
        </w:rPr>
        <w:br/>
        <w:t>综上所述，本指标满分为3分，根据评分标准得3分，本项目立项依据充分。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项目立项程序：昌吉</w:t>
      </w:r>
      <w:proofErr w:type="gramStart"/>
      <w:r>
        <w:rPr>
          <w:rStyle w:val="ad"/>
          <w:rFonts w:ascii="楷体" w:eastAsia="楷体" w:hAnsi="楷体" w:hint="eastAsia"/>
          <w:b w:val="0"/>
          <w:bCs w:val="0"/>
          <w:spacing w:val="-4"/>
          <w:sz w:val="32"/>
          <w:szCs w:val="32"/>
        </w:rPr>
        <w:t>州农业</w:t>
      </w:r>
      <w:proofErr w:type="gramEnd"/>
      <w:r>
        <w:rPr>
          <w:rStyle w:val="ad"/>
          <w:rFonts w:ascii="楷体" w:eastAsia="楷体" w:hAnsi="楷体" w:hint="eastAsia"/>
          <w:b w:val="0"/>
          <w:bCs w:val="0"/>
          <w:spacing w:val="-4"/>
          <w:sz w:val="32"/>
          <w:szCs w:val="32"/>
        </w:rPr>
        <w:t>农村局《关于印发&lt;昌吉州2024年基层农技推广体系改革与建设项目实施方案&gt;的通知》（昌</w:t>
      </w:r>
      <w:proofErr w:type="gramStart"/>
      <w:r>
        <w:rPr>
          <w:rStyle w:val="ad"/>
          <w:rFonts w:ascii="楷体" w:eastAsia="楷体" w:hAnsi="楷体" w:hint="eastAsia"/>
          <w:b w:val="0"/>
          <w:bCs w:val="0"/>
          <w:spacing w:val="-4"/>
          <w:sz w:val="32"/>
          <w:szCs w:val="32"/>
        </w:rPr>
        <w:t>州农函</w:t>
      </w:r>
      <w:proofErr w:type="gramEnd"/>
      <w:r>
        <w:rPr>
          <w:rStyle w:val="ad"/>
          <w:rFonts w:ascii="楷体" w:eastAsia="楷体" w:hAnsi="楷体" w:hint="eastAsia"/>
          <w:b w:val="0"/>
          <w:bCs w:val="0"/>
          <w:spacing w:val="-4"/>
          <w:sz w:val="32"/>
          <w:szCs w:val="32"/>
        </w:rPr>
        <w:t>〔2024〕56号）。</w:t>
      </w:r>
      <w:r>
        <w:rPr>
          <w:rStyle w:val="ad"/>
          <w:rFonts w:ascii="楷体" w:eastAsia="楷体" w:hAnsi="楷体" w:hint="eastAsia"/>
          <w:b w:val="0"/>
          <w:bCs w:val="0"/>
          <w:spacing w:val="-4"/>
          <w:sz w:val="32"/>
          <w:szCs w:val="32"/>
        </w:rPr>
        <w:br/>
        <w:t>审批文件、材料：木垒县农业农村局《2024年木垒县基层农业技术推广体系改革与建设项目实施方案》。</w:t>
      </w:r>
      <w:r>
        <w:rPr>
          <w:rStyle w:val="ad"/>
          <w:rFonts w:ascii="楷体" w:eastAsia="楷体" w:hAnsi="楷体" w:hint="eastAsia"/>
          <w:b w:val="0"/>
          <w:bCs w:val="0"/>
          <w:spacing w:val="-4"/>
          <w:sz w:val="32"/>
          <w:szCs w:val="32"/>
        </w:rPr>
        <w:br/>
        <w:t>项目事前工作：本项目已经过会议研究、专家论证、集体决策。</w:t>
      </w:r>
      <w:r>
        <w:rPr>
          <w:rStyle w:val="ad"/>
          <w:rFonts w:ascii="楷体" w:eastAsia="楷体" w:hAnsi="楷体" w:hint="eastAsia"/>
          <w:b w:val="0"/>
          <w:bCs w:val="0"/>
          <w:spacing w:val="-4"/>
          <w:sz w:val="32"/>
          <w:szCs w:val="32"/>
        </w:rPr>
        <w:br/>
        <w:t>综上所述，本指标满分为2分，根据评分标准得2分，本项目立项程序规范。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2024年木垒县小麦“一喷三防”补助项目已设立项目绩效目标，具体内容：依据《关于提前下达2024年中央农业经营主体能力提升资金预算的通知》（昌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木垒县农业农村局计划使用2024年木垒县基层农技推广体系改革与建设资金，开展木垒县基层农业技术推广体系改革与建设工作，持续健全基层农技推广体系，建设农业科技示范展示基地2个，培育科技示范主体8个，推介主导品种16个，农业先进适用主推技术4项，48名县乡农技员参加了自治区、州、县组织的农业技术培训，招募了18名特聘农技员，持续提升服务能力，持续增强技术集成示范、推广应用等公益性服务功能，有效支撑服务“三农”中心工作。与农业</w:t>
      </w:r>
      <w:proofErr w:type="gramStart"/>
      <w:r>
        <w:rPr>
          <w:rStyle w:val="ad"/>
          <w:rFonts w:ascii="楷体" w:eastAsia="楷体" w:hAnsi="楷体" w:hint="eastAsia"/>
          <w:b w:val="0"/>
          <w:bCs w:val="0"/>
          <w:spacing w:val="-4"/>
          <w:sz w:val="32"/>
          <w:szCs w:val="32"/>
        </w:rPr>
        <w:t>也技术</w:t>
      </w:r>
      <w:proofErr w:type="gramEnd"/>
      <w:r>
        <w:rPr>
          <w:rStyle w:val="ad"/>
          <w:rFonts w:ascii="楷体" w:eastAsia="楷体" w:hAnsi="楷体" w:hint="eastAsia"/>
          <w:b w:val="0"/>
          <w:bCs w:val="0"/>
          <w:spacing w:val="-4"/>
          <w:sz w:val="32"/>
          <w:szCs w:val="32"/>
        </w:rPr>
        <w:t>推广工作具有相关性，绩效目标与实际工作内容一致，本项目按照绩效目标完成绩效指标，持续健全基层农技推广体系，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4.绩效指标明确性</w:t>
      </w:r>
      <w:r>
        <w:rPr>
          <w:rStyle w:val="ad"/>
          <w:rFonts w:ascii="楷体" w:eastAsia="楷体" w:hAnsi="楷体" w:hint="eastAsia"/>
          <w:b w:val="0"/>
          <w:bCs w:val="0"/>
          <w:spacing w:val="-4"/>
          <w:sz w:val="32"/>
          <w:szCs w:val="32"/>
        </w:rPr>
        <w:br/>
        <w:t>2024年项目将项目绩效目标细化分解为具体的绩效指标，一级指标共4条，二级指标共6条，三级指标共9条，其中定量指标数量共8条，指标量化率88.89%，超过70%。所有绩效指标均通过清晰、可衡量的指标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本项目预算编制参照《项目相关文件测算标准》得出，项目预算编制根据项目内容进行计算，预算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木垒县农牧业技术推广中心支委会会议、县农业农村局党组会确定，预算内容与项目内容无偏差，预算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科学。本项目预算额度测算依据充分，参照标准编制，预算确定资金量与实际工作任务相匹配。</w:t>
      </w:r>
      <w:r>
        <w:rPr>
          <w:rStyle w:val="ad"/>
          <w:rFonts w:ascii="楷体" w:eastAsia="楷体" w:hAnsi="楷体" w:hint="eastAsia"/>
          <w:b w:val="0"/>
          <w:bCs w:val="0"/>
          <w:spacing w:val="-4"/>
          <w:sz w:val="32"/>
          <w:szCs w:val="32"/>
        </w:rPr>
        <w:br/>
        <w:t>综上所述，本指标满分为2分，根据评分标准2分，本项目预算编制科学。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本项目预算资金分配以昌吉州财政局《关于提前下达2024年中央农业经营主体能力提升资金预算的通知》（昌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〔2023〕52号）为依据进行资金分配，预算资金分配依据充分。项目资金分配额度无偏低或偏高情况，分配额度合理。根据昌吉州财政局《关于提前下达2024年中央农业经营主体能力提升资金预算的通知》（昌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〔2023〕52号）文件显示，本项目实际到位资金85万元，实际分配资金与我单位提交申请的资金额度一致，资金分配额度合理，与我单位实际需求相适应。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综上所述，本指标满分为4分，根据评分标准得4分，本项目资金分配合理。</w:t>
      </w:r>
      <w:r>
        <w:rPr>
          <w:rStyle w:val="ad"/>
          <w:rFonts w:ascii="楷体" w:eastAsia="楷体" w:hAnsi="楷体" w:hint="eastAsia"/>
          <w:b w:val="0"/>
          <w:bCs w:val="0"/>
          <w:spacing w:val="-4"/>
          <w:sz w:val="32"/>
          <w:szCs w:val="32"/>
        </w:rPr>
        <w:tab/>
      </w:r>
    </w:p>
    <w:p w14:paraId="25FB3690" w14:textId="77777777" w:rsidR="002D28F8"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3168EC3C" w14:textId="77777777" w:rsidR="002D28F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本项目预算资金为85万元，其中：中央财政安排资金85万元，其他资金0万元，实际到位资金85万元，资金到位率100%，资金到位率=（实际到位资金/预算资金）×100.00%=（100/100）*100.00%=100%。得分=资金到位率*分值=100.00%*3=3.00分。</w:t>
      </w:r>
      <w:r>
        <w:rPr>
          <w:rStyle w:val="ad"/>
          <w:rFonts w:ascii="楷体" w:eastAsia="楷体" w:hAnsi="楷体" w:hint="eastAsia"/>
          <w:b w:val="0"/>
          <w:bCs w:val="0"/>
          <w:spacing w:val="-4"/>
          <w:sz w:val="32"/>
          <w:szCs w:val="32"/>
        </w:rPr>
        <w:br/>
        <w:t>综上所述，本指标满分为3分，根据评分标准得3分，本项目资金落实到位。</w:t>
      </w:r>
      <w:r>
        <w:rPr>
          <w:rStyle w:val="ad"/>
          <w:rFonts w:ascii="楷体" w:eastAsia="楷体" w:hAnsi="楷体" w:hint="eastAsia"/>
          <w:b w:val="0"/>
          <w:bCs w:val="0"/>
          <w:spacing w:val="-4"/>
          <w:sz w:val="32"/>
          <w:szCs w:val="32"/>
        </w:rPr>
        <w:br/>
        <w:t>2.预算执行率。本项目年初预算数85万元，全年预算数85万元，全年执行数84.230293万元，预算执行率99.09%，预算执行率=（实际支出资金/实际到位资金）×100.00%=（84.230293/85）*100.00%=99.09%。得分=预算执行率*分值=99.03%*3=2.97分。</w:t>
      </w:r>
      <w:r>
        <w:rPr>
          <w:rStyle w:val="ad"/>
          <w:rFonts w:ascii="楷体" w:eastAsia="楷体" w:hAnsi="楷体" w:hint="eastAsia"/>
          <w:b w:val="0"/>
          <w:bCs w:val="0"/>
          <w:spacing w:val="-4"/>
          <w:sz w:val="32"/>
          <w:szCs w:val="32"/>
        </w:rPr>
        <w:br/>
        <w:t>综上所述，本指标满分为3分，根据评分标准得2.97分，本项目预算按计划执行。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3.1本项目资金使用符合、财务管理制度以及有关专项资金管理办法的规定；</w:t>
      </w:r>
      <w:r>
        <w:rPr>
          <w:rStyle w:val="ad"/>
          <w:rFonts w:ascii="楷体" w:eastAsia="楷体" w:hAnsi="楷体" w:hint="eastAsia"/>
          <w:b w:val="0"/>
          <w:bCs w:val="0"/>
          <w:spacing w:val="-4"/>
          <w:sz w:val="32"/>
          <w:szCs w:val="32"/>
        </w:rPr>
        <w:br/>
        <w:t>3.2资金的拨付严格按照木垒县财政局资金拨付审批程序进行：由木垒县农牧业技术推广中心提交专项资金拨付申请到哈比勒贝克县长，经审批后提交到木垒县财政局。项目资金拨付手续齐全，资金拨付手续有：上级专项资金申请单、发票、合同、成交通知书。</w:t>
      </w:r>
      <w:r>
        <w:rPr>
          <w:rStyle w:val="ad"/>
          <w:rFonts w:ascii="楷体" w:eastAsia="楷体" w:hAnsi="楷体" w:hint="eastAsia"/>
          <w:b w:val="0"/>
          <w:bCs w:val="0"/>
          <w:spacing w:val="-4"/>
          <w:sz w:val="32"/>
          <w:szCs w:val="32"/>
        </w:rPr>
        <w:br/>
        <w:t>3.3本项目资金的用途为：紧密围绕农业技术推广工作目标、建</w:t>
      </w:r>
      <w:r>
        <w:rPr>
          <w:rStyle w:val="ad"/>
          <w:rFonts w:ascii="楷体" w:eastAsia="楷体" w:hAnsi="楷体" w:hint="eastAsia"/>
          <w:b w:val="0"/>
          <w:bCs w:val="0"/>
          <w:spacing w:val="-4"/>
          <w:sz w:val="32"/>
          <w:szCs w:val="32"/>
        </w:rPr>
        <w:lastRenderedPageBreak/>
        <w:t>设农业科技示范基地，培育农业科技示范主体，招募特聘农技员，推广农业技术，提升农技人员水平，符合项目预算批复及合同规定的用途；</w:t>
      </w:r>
      <w:r>
        <w:rPr>
          <w:rStyle w:val="ad"/>
          <w:rFonts w:ascii="楷体" w:eastAsia="楷体" w:hAnsi="楷体" w:hint="eastAsia"/>
          <w:b w:val="0"/>
          <w:bCs w:val="0"/>
          <w:spacing w:val="-4"/>
          <w:sz w:val="32"/>
          <w:szCs w:val="32"/>
        </w:rPr>
        <w:br/>
        <w:t>3.4项目资金截至2024年12月31日已拨付至99.09%，过程不存在截留、挤占、挪用、虚列支出等情况。指标满分为2.00分，根据评分标准得2.00分，本项目所建立制度执行有效。</w:t>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本项目财务及业务管理制度符合《中华人民共和国政府采购法》、《中华人民共和国会计法》等相关法律法规。</w:t>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w:t>
      </w:r>
      <w:r>
        <w:rPr>
          <w:rStyle w:val="ad"/>
          <w:rFonts w:ascii="楷体" w:eastAsia="楷体" w:hAnsi="楷体" w:hint="eastAsia"/>
          <w:b w:val="0"/>
          <w:bCs w:val="0"/>
          <w:spacing w:val="-4"/>
          <w:sz w:val="32"/>
          <w:szCs w:val="32"/>
        </w:rPr>
        <w:br/>
        <w:t>其中：</w:t>
      </w:r>
      <w:r>
        <w:rPr>
          <w:rStyle w:val="ad"/>
          <w:rFonts w:ascii="楷体" w:eastAsia="楷体" w:hAnsi="楷体" w:hint="eastAsia"/>
          <w:b w:val="0"/>
          <w:bCs w:val="0"/>
          <w:spacing w:val="-4"/>
          <w:sz w:val="32"/>
          <w:szCs w:val="32"/>
        </w:rPr>
        <w:br/>
        <w:t>5.1项目的审批、招标、建设、验收过程均遵守相关法律法规和相关管理规定；</w:t>
      </w:r>
      <w:r>
        <w:rPr>
          <w:rStyle w:val="ad"/>
          <w:rFonts w:ascii="楷体" w:eastAsia="楷体" w:hAnsi="楷体" w:hint="eastAsia"/>
          <w:b w:val="0"/>
          <w:bCs w:val="0"/>
          <w:spacing w:val="-4"/>
          <w:sz w:val="32"/>
          <w:szCs w:val="32"/>
        </w:rPr>
        <w:br/>
        <w:t>5.2本项目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5.2项目合同书、实施过程等资料齐全并已及时归档；</w:t>
      </w:r>
      <w:r>
        <w:rPr>
          <w:rStyle w:val="ad"/>
          <w:rFonts w:ascii="楷体" w:eastAsia="楷体" w:hAnsi="楷体" w:hint="eastAsia"/>
          <w:b w:val="0"/>
          <w:bCs w:val="0"/>
          <w:spacing w:val="-4"/>
          <w:sz w:val="32"/>
          <w:szCs w:val="32"/>
        </w:rPr>
        <w:br/>
        <w:t>5.3项目实施的化肥农药等均已补贴到位，特聘农技员补贴已发放。</w:t>
      </w:r>
      <w:r>
        <w:rPr>
          <w:rStyle w:val="ad"/>
          <w:rFonts w:ascii="楷体" w:eastAsia="楷体" w:hAnsi="楷体" w:hint="eastAsia"/>
          <w:b w:val="0"/>
          <w:bCs w:val="0"/>
          <w:spacing w:val="-4"/>
          <w:sz w:val="32"/>
          <w:szCs w:val="32"/>
        </w:rPr>
        <w:br/>
        <w:t>综上所述，本指标满分为3分，根据评分标准得3分，本项目所</w:t>
      </w:r>
      <w:r>
        <w:rPr>
          <w:rStyle w:val="ad"/>
          <w:rFonts w:ascii="楷体" w:eastAsia="楷体" w:hAnsi="楷体" w:hint="eastAsia"/>
          <w:b w:val="0"/>
          <w:bCs w:val="0"/>
          <w:spacing w:val="-4"/>
          <w:sz w:val="32"/>
          <w:szCs w:val="32"/>
        </w:rPr>
        <w:lastRenderedPageBreak/>
        <w:t>建立制度执行有效。</w:t>
      </w:r>
    </w:p>
    <w:p w14:paraId="213B7CEF" w14:textId="77777777" w:rsidR="002D28F8"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0234AD14" w14:textId="77777777" w:rsidR="002D28F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我单位2024年基层农业技术推广体系改革与建设项目截止到2024年12月31日，已完成基层农业技术推广体系改革与建设工作。其中：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指标:1：农业科技示范展示基地数量，预期指标值：≥2个。实际完成：2个。指标完成率100%，偏差原因：无；</w:t>
      </w:r>
      <w:r>
        <w:rPr>
          <w:rStyle w:val="ad"/>
          <w:rFonts w:ascii="楷体" w:eastAsia="楷体" w:hAnsi="楷体" w:hint="eastAsia"/>
          <w:b w:val="0"/>
          <w:bCs w:val="0"/>
          <w:spacing w:val="-4"/>
          <w:sz w:val="32"/>
          <w:szCs w:val="32"/>
        </w:rPr>
        <w:br/>
        <w:t>指标2：农技</w:t>
      </w:r>
      <w:proofErr w:type="gramStart"/>
      <w:r>
        <w:rPr>
          <w:rStyle w:val="ad"/>
          <w:rFonts w:ascii="楷体" w:eastAsia="楷体" w:hAnsi="楷体" w:hint="eastAsia"/>
          <w:b w:val="0"/>
          <w:bCs w:val="0"/>
          <w:spacing w:val="-4"/>
          <w:sz w:val="32"/>
          <w:szCs w:val="32"/>
        </w:rPr>
        <w:t>员能力</w:t>
      </w:r>
      <w:proofErr w:type="gramEnd"/>
      <w:r>
        <w:rPr>
          <w:rStyle w:val="ad"/>
          <w:rFonts w:ascii="楷体" w:eastAsia="楷体" w:hAnsi="楷体" w:hint="eastAsia"/>
          <w:b w:val="0"/>
          <w:bCs w:val="0"/>
          <w:spacing w:val="-4"/>
          <w:sz w:val="32"/>
          <w:szCs w:val="32"/>
        </w:rPr>
        <w:t>提升人数，预期指标值：≥48人。实际完成：65人次。指标完成率135%，偏差原因：农技</w:t>
      </w:r>
      <w:proofErr w:type="gramStart"/>
      <w:r>
        <w:rPr>
          <w:rStyle w:val="ad"/>
          <w:rFonts w:ascii="楷体" w:eastAsia="楷体" w:hAnsi="楷体" w:hint="eastAsia"/>
          <w:b w:val="0"/>
          <w:bCs w:val="0"/>
          <w:spacing w:val="-4"/>
          <w:sz w:val="32"/>
          <w:szCs w:val="32"/>
        </w:rPr>
        <w:t>员能力</w:t>
      </w:r>
      <w:proofErr w:type="gramEnd"/>
      <w:r>
        <w:rPr>
          <w:rStyle w:val="ad"/>
          <w:rFonts w:ascii="楷体" w:eastAsia="楷体" w:hAnsi="楷体" w:hint="eastAsia"/>
          <w:b w:val="0"/>
          <w:bCs w:val="0"/>
          <w:spacing w:val="-4"/>
          <w:sz w:val="32"/>
          <w:szCs w:val="32"/>
        </w:rPr>
        <w:t>提升人数增加了17人；</w:t>
      </w:r>
      <w:r>
        <w:rPr>
          <w:rStyle w:val="ad"/>
          <w:rFonts w:ascii="楷体" w:eastAsia="楷体" w:hAnsi="楷体" w:hint="eastAsia"/>
          <w:b w:val="0"/>
          <w:bCs w:val="0"/>
          <w:spacing w:val="-4"/>
          <w:sz w:val="32"/>
          <w:szCs w:val="32"/>
        </w:rPr>
        <w:br/>
        <w:t>指标3：培育科技示范主体数量，预期指标值：≥8个。实际完成：8个。指标完成率100%，偏差原因：无；</w:t>
      </w:r>
      <w:r>
        <w:rPr>
          <w:rStyle w:val="ad"/>
          <w:rFonts w:ascii="楷体" w:eastAsia="楷体" w:hAnsi="楷体" w:hint="eastAsia"/>
          <w:b w:val="0"/>
          <w:bCs w:val="0"/>
          <w:spacing w:val="-4"/>
          <w:sz w:val="32"/>
          <w:szCs w:val="32"/>
        </w:rPr>
        <w:br/>
        <w:t>指标4：特聘农技员人数，预期指标值：≥18人。实际完成：18人。指标完成率100%，偏差原因：无；</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指标1：农业主推技术到位率，预期指标值：≥95%。实际完成：95%。指标完成率100%，偏差原因：无；</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指标1：项目完成时间，预期指标值：=2024年12月31日前。实际完成：2024年11月18日。完成率100%，偏差原因：无；</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4.项目成本指标完成情况分析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指标1：预算成本控制率，预期指标值≦100%。实际完成值：100%。完成率：100%，偏差原因：无；</w:t>
      </w:r>
      <w:r>
        <w:rPr>
          <w:rStyle w:val="ad"/>
          <w:rFonts w:ascii="楷体" w:eastAsia="楷体" w:hAnsi="楷体" w:hint="eastAsia"/>
          <w:b w:val="0"/>
          <w:bCs w:val="0"/>
          <w:spacing w:val="-4"/>
          <w:sz w:val="32"/>
          <w:szCs w:val="32"/>
        </w:rPr>
        <w:br/>
        <w:t>综上所述，本指标满分为10分，根据评分标准得10分。</w:t>
      </w:r>
    </w:p>
    <w:p w14:paraId="39E079FC" w14:textId="77777777" w:rsidR="002D28F8"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73B48858" w14:textId="77777777" w:rsidR="002D28F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1.经济效益指标完成情况分析。本项目无该指标。</w:t>
      </w:r>
      <w:r>
        <w:rPr>
          <w:rStyle w:val="ad"/>
          <w:rFonts w:ascii="楷体" w:eastAsia="楷体" w:hAnsi="楷体" w:hint="eastAsia"/>
          <w:b w:val="0"/>
          <w:bCs w:val="0"/>
          <w:spacing w:val="-4"/>
          <w:sz w:val="32"/>
          <w:szCs w:val="32"/>
        </w:rPr>
        <w:br/>
        <w:t>2.社会效益指标完成情况分析。本项目无该指标。</w:t>
      </w:r>
      <w:r>
        <w:rPr>
          <w:rStyle w:val="ad"/>
          <w:rFonts w:ascii="楷体" w:eastAsia="楷体" w:hAnsi="楷体" w:hint="eastAsia"/>
          <w:b w:val="0"/>
          <w:bCs w:val="0"/>
          <w:spacing w:val="-4"/>
          <w:sz w:val="32"/>
          <w:szCs w:val="32"/>
        </w:rPr>
        <w:br/>
        <w:t>3.项目实施的生态效益分析。</w:t>
      </w:r>
      <w:r>
        <w:rPr>
          <w:rStyle w:val="ad"/>
          <w:rFonts w:ascii="楷体" w:eastAsia="楷体" w:hAnsi="楷体" w:hint="eastAsia"/>
          <w:b w:val="0"/>
          <w:bCs w:val="0"/>
          <w:spacing w:val="-4"/>
          <w:sz w:val="32"/>
          <w:szCs w:val="32"/>
        </w:rPr>
        <w:br/>
        <w:t>指标1：推广应用农业绿色高质高效技术模式，预期指标值：≥3个。实际完成值：3个，指标完成率100%，偏差原因：无。</w:t>
      </w:r>
      <w:r>
        <w:rPr>
          <w:rStyle w:val="ad"/>
          <w:rFonts w:ascii="楷体" w:eastAsia="楷体" w:hAnsi="楷体" w:hint="eastAsia"/>
          <w:b w:val="0"/>
          <w:bCs w:val="0"/>
          <w:spacing w:val="-4"/>
          <w:sz w:val="32"/>
          <w:szCs w:val="32"/>
        </w:rPr>
        <w:br/>
        <w:t>综上所述，本指标满分为10分，根据评分标准得10分。</w:t>
      </w:r>
    </w:p>
    <w:p w14:paraId="6FDF99F7" w14:textId="77777777" w:rsidR="002D28F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指标1：农业示范主体满意度，预期指标值≥85%。实际完成值：85%。指标完成率100%，偏差原因：无。</w:t>
      </w:r>
      <w:r>
        <w:rPr>
          <w:rStyle w:val="ad"/>
          <w:rFonts w:ascii="楷体" w:eastAsia="楷体" w:hAnsi="楷体" w:hint="eastAsia"/>
          <w:b w:val="0"/>
          <w:bCs w:val="0"/>
          <w:spacing w:val="-4"/>
          <w:sz w:val="32"/>
          <w:szCs w:val="32"/>
        </w:rPr>
        <w:br/>
        <w:t>本指标满分为10分，根据评分标准得10分。</w:t>
      </w:r>
    </w:p>
    <w:p w14:paraId="7B2C50BD" w14:textId="77777777" w:rsidR="002D28F8" w:rsidRDefault="002D28F8" w:rsidP="001662DF">
      <w:pPr>
        <w:spacing w:line="540" w:lineRule="exact"/>
        <w:rPr>
          <w:rStyle w:val="ad"/>
          <w:rFonts w:ascii="楷体" w:eastAsia="楷体" w:hAnsi="楷体" w:hint="eastAsia"/>
          <w:spacing w:val="-4"/>
          <w:sz w:val="32"/>
          <w:szCs w:val="32"/>
        </w:rPr>
      </w:pPr>
    </w:p>
    <w:p w14:paraId="6E226329" w14:textId="77777777" w:rsidR="002D28F8"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38430984" w14:textId="77777777" w:rsidR="002D28F8"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是领导高度重视。专项资金预算下拨后，县农业农村局主要领导和分管领导高度重视，落实责任分工，确保项目顺利进行。局党组和中心多次开会研究2024年基层农业技术推广体系改革与建设项目的事情。项目通过木垒县农牧业技术推广中心执行，具体事项经支委会、站工作会议讨论、研究决定。</w:t>
      </w:r>
      <w:r>
        <w:rPr>
          <w:rStyle w:val="ad"/>
          <w:rFonts w:ascii="楷体" w:eastAsia="楷体" w:hAnsi="楷体" w:hint="eastAsia"/>
          <w:b w:val="0"/>
          <w:bCs w:val="0"/>
          <w:spacing w:val="-4"/>
          <w:sz w:val="32"/>
          <w:szCs w:val="32"/>
        </w:rPr>
        <w:br/>
        <w:t>2.建立长效跟踪机制，在培训结束后，对农技员的技能应用和工作情况进行长期跟踪。通过实地走访、电话回访等方式，了解农机员在实际操作中遇到的问题和困难，及时提供技术支持和解决方案；定期组织农机员进行复训和技能提升培训。</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（二）后续工作计划</w:t>
      </w:r>
      <w:r>
        <w:rPr>
          <w:rStyle w:val="ad"/>
          <w:rFonts w:ascii="楷体" w:eastAsia="楷体" w:hAnsi="楷体" w:hint="eastAsia"/>
          <w:b w:val="0"/>
          <w:bCs w:val="0"/>
          <w:spacing w:val="-4"/>
          <w:sz w:val="32"/>
          <w:szCs w:val="32"/>
        </w:rPr>
        <w:br/>
        <w:t>我们将进一步加强资金管理、项目管理，用制度、用规范来有效提高项目进度，专人负责，确保该项目在既定时间内完成所有工程量，达到预期效果。</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（1）项目前期工作不全面，没有深入细致科学规划地做好各项前期工作，项目实施前期已根据项目建设内容设置绩效目标，但项目绩效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t>（2）基地辐射带动范围有限，宣传推广力度不足，与周边乡村、农户沟通联系不够紧密，信息传播渠道不畅。</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未科学</w:t>
      </w:r>
      <w:proofErr w:type="gramEnd"/>
      <w:r>
        <w:rPr>
          <w:rStyle w:val="ad"/>
          <w:rFonts w:ascii="楷体" w:eastAsia="楷体" w:hAnsi="楷体" w:hint="eastAsia"/>
          <w:b w:val="0"/>
          <w:bCs w:val="0"/>
          <w:spacing w:val="-4"/>
          <w:sz w:val="32"/>
          <w:szCs w:val="32"/>
        </w:rPr>
        <w:t>编制预算，预算与目标匹配度不够。科学的预算编制应该保证预算和目标在质和量上相匹配，即一方面预算应该根据目标来编制，保证每一个目标的实现均有相应的预算安排，另一方面应在合理测算工作量的基础上保证预算编制的准确性。对此，预算单位会同财政部门共同梳理项目绩效目标，合理测算项目工作量，科学编制预算。</w:t>
      </w:r>
      <w:r>
        <w:rPr>
          <w:rStyle w:val="ad"/>
          <w:rFonts w:ascii="楷体" w:eastAsia="楷体" w:hAnsi="楷体" w:hint="eastAsia"/>
          <w:b w:val="0"/>
          <w:bCs w:val="0"/>
          <w:spacing w:val="-4"/>
          <w:sz w:val="32"/>
          <w:szCs w:val="32"/>
        </w:rPr>
        <w:br/>
        <w:t>（2）强化宣传推广与合作，利用新媒体平台，定期发布基地示范项目进展、新技术应用成果等信息，与周边乡镇、村委会建立合作关系，定期组织农户到基地参观学习。</w:t>
      </w:r>
    </w:p>
    <w:p w14:paraId="7ED0DCE6" w14:textId="77777777" w:rsidR="002D28F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2DB75C7E" w14:textId="77777777" w:rsidR="002D28F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w:t>
      </w:r>
      <w:r>
        <w:rPr>
          <w:rStyle w:val="ad"/>
          <w:rFonts w:ascii="楷体" w:eastAsia="楷体" w:hAnsi="楷体" w:hint="eastAsia"/>
          <w:b w:val="0"/>
          <w:bCs w:val="0"/>
          <w:spacing w:val="-4"/>
          <w:sz w:val="32"/>
          <w:szCs w:val="32"/>
        </w:rPr>
        <w:lastRenderedPageBreak/>
        <w:t>格审核切实做好项目信息公开，公开内容要及时、完整、真实，确保项目公平、公开、公正。</w:t>
      </w:r>
      <w:r>
        <w:rPr>
          <w:rStyle w:val="ad"/>
          <w:rFonts w:ascii="楷体" w:eastAsia="楷体" w:hAnsi="楷体" w:hint="eastAsia"/>
          <w:b w:val="0"/>
          <w:bCs w:val="0"/>
          <w:spacing w:val="-4"/>
          <w:sz w:val="32"/>
          <w:szCs w:val="32"/>
        </w:rPr>
        <w:br/>
        <w:t>2.定期举办农机操作技能竞赛，设置耕地、播种、收割等多个竞赛项目，模拟实际农业生产场景，检验农机员的操作水平和技能掌握程度。</w:t>
      </w:r>
    </w:p>
    <w:p w14:paraId="6E6407D7" w14:textId="77777777" w:rsidR="002D28F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0E8DBA8B" w14:textId="77777777" w:rsidR="002D28F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本次预算绩效评价所采集的数据因为采集时间、数据来源等诸多因素的影响，可能会出现一定的偏差，进而对评价结果存在影响。</w:t>
      </w:r>
    </w:p>
    <w:p w14:paraId="6E3A2EA6" w14:textId="77777777" w:rsidR="002D28F8" w:rsidRDefault="002D28F8">
      <w:pPr>
        <w:spacing w:line="540" w:lineRule="exact"/>
        <w:ind w:firstLine="567"/>
        <w:rPr>
          <w:rStyle w:val="ad"/>
          <w:rFonts w:ascii="仿宋" w:eastAsia="仿宋" w:hAnsi="仿宋" w:hint="eastAsia"/>
          <w:b w:val="0"/>
          <w:spacing w:val="-4"/>
          <w:sz w:val="32"/>
          <w:szCs w:val="32"/>
        </w:rPr>
      </w:pPr>
    </w:p>
    <w:p w14:paraId="491C936F" w14:textId="77777777" w:rsidR="002D28F8" w:rsidRDefault="002D28F8">
      <w:pPr>
        <w:spacing w:line="540" w:lineRule="exact"/>
        <w:ind w:firstLine="567"/>
        <w:rPr>
          <w:rStyle w:val="ad"/>
          <w:rFonts w:ascii="仿宋" w:eastAsia="仿宋" w:hAnsi="仿宋" w:hint="eastAsia"/>
          <w:b w:val="0"/>
          <w:spacing w:val="-4"/>
          <w:sz w:val="32"/>
          <w:szCs w:val="32"/>
        </w:rPr>
      </w:pPr>
    </w:p>
    <w:p w14:paraId="6850F059" w14:textId="77777777" w:rsidR="002D28F8" w:rsidRDefault="002D28F8">
      <w:pPr>
        <w:spacing w:line="540" w:lineRule="exact"/>
        <w:ind w:firstLine="567"/>
        <w:rPr>
          <w:rStyle w:val="ad"/>
          <w:rFonts w:ascii="仿宋" w:eastAsia="仿宋" w:hAnsi="仿宋" w:hint="eastAsia"/>
          <w:b w:val="0"/>
          <w:spacing w:val="-4"/>
          <w:sz w:val="32"/>
          <w:szCs w:val="32"/>
        </w:rPr>
      </w:pPr>
    </w:p>
    <w:p w14:paraId="04217D2C" w14:textId="77777777" w:rsidR="002D28F8" w:rsidRDefault="002D28F8">
      <w:pPr>
        <w:spacing w:line="540" w:lineRule="exact"/>
        <w:ind w:firstLine="567"/>
        <w:rPr>
          <w:rStyle w:val="ad"/>
          <w:rFonts w:ascii="仿宋" w:eastAsia="仿宋" w:hAnsi="仿宋" w:hint="eastAsia"/>
          <w:b w:val="0"/>
          <w:spacing w:val="-4"/>
          <w:sz w:val="32"/>
          <w:szCs w:val="32"/>
        </w:rPr>
      </w:pPr>
    </w:p>
    <w:p w14:paraId="13CBB79C" w14:textId="77777777" w:rsidR="002D28F8" w:rsidRDefault="002D28F8">
      <w:pPr>
        <w:spacing w:line="540" w:lineRule="exact"/>
        <w:ind w:firstLine="567"/>
        <w:rPr>
          <w:rStyle w:val="ad"/>
          <w:rFonts w:ascii="仿宋" w:eastAsia="仿宋" w:hAnsi="仿宋" w:hint="eastAsia"/>
          <w:b w:val="0"/>
          <w:spacing w:val="-4"/>
          <w:sz w:val="32"/>
          <w:szCs w:val="32"/>
        </w:rPr>
      </w:pPr>
    </w:p>
    <w:sectPr w:rsidR="002D28F8">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34F09" w14:textId="77777777" w:rsidR="00DB52F1" w:rsidRDefault="00DB52F1">
      <w:r>
        <w:separator/>
      </w:r>
    </w:p>
  </w:endnote>
  <w:endnote w:type="continuationSeparator" w:id="0">
    <w:p w14:paraId="01C80E3A" w14:textId="77777777" w:rsidR="00DB52F1" w:rsidRDefault="00DB5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796F21BA" w14:textId="77777777" w:rsidR="002D28F8" w:rsidRDefault="00000000">
        <w:pPr>
          <w:pStyle w:val="a5"/>
          <w:jc w:val="center"/>
        </w:pPr>
        <w:r>
          <w:fldChar w:fldCharType="begin"/>
        </w:r>
        <w:r>
          <w:instrText>PAGE   \* MERGEFORMAT</w:instrText>
        </w:r>
        <w:r>
          <w:fldChar w:fldCharType="separate"/>
        </w:r>
        <w:r>
          <w:rPr>
            <w:lang w:val="zh-CN"/>
          </w:rPr>
          <w:t>2</w:t>
        </w:r>
        <w:r>
          <w:fldChar w:fldCharType="end"/>
        </w:r>
      </w:p>
    </w:sdtContent>
  </w:sdt>
  <w:p w14:paraId="376DDE6C" w14:textId="77777777" w:rsidR="002D28F8" w:rsidRDefault="002D28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7A614" w14:textId="77777777" w:rsidR="00DB52F1" w:rsidRDefault="00DB52F1">
      <w:r>
        <w:separator/>
      </w:r>
    </w:p>
  </w:footnote>
  <w:footnote w:type="continuationSeparator" w:id="0">
    <w:p w14:paraId="1EC82370" w14:textId="77777777" w:rsidR="00DB52F1" w:rsidRDefault="00DB52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052027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662DF"/>
    <w:rsid w:val="001B3A40"/>
    <w:rsid w:val="00291BC0"/>
    <w:rsid w:val="002D28F8"/>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96D91"/>
    <w:rsid w:val="00BA46E6"/>
    <w:rsid w:val="00C56C72"/>
    <w:rsid w:val="00CA6457"/>
    <w:rsid w:val="00CE2FD9"/>
    <w:rsid w:val="00D17F2E"/>
    <w:rsid w:val="00D30354"/>
    <w:rsid w:val="00DB52F1"/>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FB3DE3"/>
  <w15:docId w15:val="{4F502BCE-2F8E-41A9-B223-92D98A236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Pages>
  <Words>5312</Words>
  <Characters>5578</Characters>
  <Application>Microsoft Office Word</Application>
  <DocSecurity>0</DocSecurity>
  <Lines>265</Lines>
  <Paragraphs>38</Paragraphs>
  <ScaleCrop>false</ScaleCrop>
  <Company/>
  <LinksUpToDate>false</LinksUpToDate>
  <CharactersWithSpaces>10852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21</cp:revision>
  <cp:lastPrinted>2018-12-31T10:56:00Z</cp:lastPrinted>
  <dcterms:created xsi:type="dcterms:W3CDTF">2018-08-15T02:06:00Z</dcterms:created>
  <dcterms:modified xsi:type="dcterms:W3CDTF">2025-09-24T08:49:00Z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